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2021年执业药师《药综》考试分值分布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2022年执业药师新考期到来，万事开头难，不知道如何复习的小伙伴儿们，跟着小编一起来看看21年《药综》的分值分布以及22年的备考建议吧！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21年各章节分值分布</w:t>
      </w:r>
    </w:p>
    <w:p>
      <w:pPr>
        <w:rPr>
          <w:rFonts w:hint="eastAsia"/>
        </w:rPr>
      </w:pPr>
      <w:r>
        <w:rPr>
          <w:rFonts w:hint="eastAsia"/>
        </w:rPr>
        <w:t>2020——2021年《药学综合知识与技能》考题分析，各章节分值对比如下：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456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2"/>
        <w:gridCol w:w="502"/>
        <w:gridCol w:w="502"/>
        <w:gridCol w:w="502"/>
        <w:gridCol w:w="502"/>
        <w:gridCol w:w="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9" w:type="dxa"/>
            <w:gridSpan w:val="18"/>
            <w:shd w:val="clear" w:color="auto" w:fill="00B050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往年对比分值占比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章节</w:t>
            </w:r>
          </w:p>
        </w:tc>
        <w:tc>
          <w:tcPr>
            <w:tcW w:w="24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第一章执业药师与药学服务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第二章用药调剂和药品管理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第三章用药安全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第四章药物治疗管理和健康促进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第五章常见疾病的健康管理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第六章呼吸系统常见疾病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第七章心血管系统常见疾病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第八章神经精神系统常见疾病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第九章消化系统系统常见疾病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第十章常见内分泌及代谢性疾病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第十一章泌威系统常见疾病</w:t>
            </w:r>
          </w:p>
        </w:tc>
        <w:tc>
          <w:tcPr>
            <w:tcW w:w="50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第十二章血酒系统常见疾病</w:t>
            </w:r>
          </w:p>
        </w:tc>
        <w:tc>
          <w:tcPr>
            <w:tcW w:w="50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第十三章肿瘤</w:t>
            </w:r>
          </w:p>
        </w:tc>
        <w:tc>
          <w:tcPr>
            <w:tcW w:w="50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第十四章常见骨关节疾病</w:t>
            </w:r>
          </w:p>
        </w:tc>
        <w:tc>
          <w:tcPr>
            <w:tcW w:w="50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第十五章常见病毒性疾病</w:t>
            </w:r>
          </w:p>
        </w:tc>
        <w:tc>
          <w:tcPr>
            <w:tcW w:w="50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第十六章旧科系统常见疾病</w:t>
            </w:r>
          </w:p>
        </w:tc>
        <w:tc>
          <w:tcPr>
            <w:tcW w:w="50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第十七章中毒解救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2020分值占比</w:t>
            </w:r>
          </w:p>
        </w:tc>
        <w:tc>
          <w:tcPr>
            <w:tcW w:w="24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0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0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0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0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0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0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2021分值占比</w:t>
            </w:r>
          </w:p>
        </w:tc>
        <w:tc>
          <w:tcPr>
            <w:tcW w:w="24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0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0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0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0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0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0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从2021年的考试题目可以看出，17个章节的分值相比以前更均匀了，没有出现20分以上的章节，也没有出现1分甚至0分的章节，我们可以分为三个档次“10分及以上章节”“5——10分章节”“5分及以下章节”。</w:t>
      </w:r>
    </w:p>
    <w:p/>
    <w:p>
      <w:pPr>
        <w:rPr>
          <w:rFonts w:hint="eastAsia"/>
        </w:rPr>
      </w:pPr>
      <w:r>
        <w:rPr>
          <w:rFonts w:hint="eastAsia"/>
        </w:rPr>
        <w:t>从以上统计可以看出，前两档共计11个章节（考察分值97分）是学习的重点，在2022年的学习上大家注意合理分配时间。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2022年备考建议</w:t>
      </w:r>
    </w:p>
    <w:p>
      <w:pPr>
        <w:rPr>
          <w:rFonts w:hint="eastAsia"/>
        </w:rPr>
      </w:pPr>
      <w:r>
        <w:rPr>
          <w:rFonts w:hint="eastAsia"/>
        </w:rPr>
        <w:t>2021年处方缩写词、药物妊娠毒性分级、药物的不良反应这些每年强调的重点依然在考试中占据重要地位，是主要得分内容，在2022年的复习中，这些内容依然是要求优先掌握的。</w:t>
      </w: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2022年执业药师备考已经开始了，抓紧时间着手复习，让你考取证书的愿望变成现实才是你真正该做的事情！</w:t>
      </w: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>我们</w:t>
      </w: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已经为你准备了多种学习班型，可以满足不同考生的学习需求，不知道如何备考的话，马上报课学习吧&gt;&gt;</w:t>
      </w: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A3BDE"/>
    <w:rsid w:val="033A3BDE"/>
    <w:rsid w:val="20D653E6"/>
    <w:rsid w:val="3D7C7540"/>
    <w:rsid w:val="4BEE7934"/>
    <w:rsid w:val="63E2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2021-11-29T06:41:00Z</dcterms:created>
  <dc:creator>丫头</dc:creator>
  <cp:lastModifiedBy>丫头</cp:lastModifiedBy>
  <dcterms:modified xsi:type="dcterms:W3CDTF">2021-12-02T07:18:18Z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0D75F9BA891D435A8C58A6233BB3E96B</vt:lpwstr>
  </property>
</Properties>
</file>