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2021年执业药师《药一》考试分值分布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2022年执业药师新考期到来，万事开头难，不知道如何复习的小伙伴儿们，跟着小编一起来看看21年《药一》的分值分布吧！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left"/>
        <w:rPr>
          <w:rFonts w:hint="eastAsia"/>
          <w:b/>
          <w:bCs/>
          <w:color w:val="548235" w:themeColor="accent6" w:themeShade="BF"/>
          <w:sz w:val="28"/>
          <w:szCs w:val="28"/>
        </w:rPr>
      </w:pPr>
      <w:r>
        <w:rPr>
          <w:rFonts w:hint="eastAsia"/>
          <w:b/>
          <w:bCs/>
          <w:color w:val="548235" w:themeColor="accent6" w:themeShade="BF"/>
          <w:sz w:val="28"/>
          <w:szCs w:val="28"/>
        </w:rPr>
        <w:t>21年各章节分值分布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2021年执业药师《药学专业知识（一）》分为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八个章节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第一、三、五章节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，占比稍有增加，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第六章节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较去年基本持平，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第二、四、七、八章节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，有所下降。具体各部分分值比例如下图：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下面通过表格来直观分析一下《药学专业知识（一）》的分值比例情况。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9"/>
            <w:shd w:val="clear" w:color="auto" w:fill="00B050"/>
          </w:tcPr>
          <w:p>
            <w:pPr>
              <w:ind w:leftChars="2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往年分值分布占比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946" w:type="dxa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章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节</w:t>
            </w:r>
          </w:p>
        </w:tc>
        <w:tc>
          <w:tcPr>
            <w:tcW w:w="946" w:type="dxa"/>
            <w:vAlign w:val="top"/>
          </w:tcPr>
          <w:p>
            <w:pPr>
              <w:ind w:leftChars="200"/>
              <w:rPr>
                <w:rFonts w:hint="eastAsia"/>
              </w:rPr>
            </w:pPr>
            <w:r>
              <w:rPr>
                <w:rFonts w:hint="eastAsia"/>
              </w:rPr>
              <w:t>第一章药品与药品质量标准</w:t>
            </w:r>
          </w:p>
        </w:tc>
        <w:tc>
          <w:tcPr>
            <w:tcW w:w="946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第二章药物的结构与作用</w:t>
            </w:r>
          </w:p>
        </w:tc>
        <w:tc>
          <w:tcPr>
            <w:tcW w:w="946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第三章常见的药物结构与作用</w:t>
            </w:r>
          </w:p>
        </w:tc>
        <w:tc>
          <w:tcPr>
            <w:tcW w:w="946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第四章口服制剂与临床应用</w:t>
            </w:r>
          </w:p>
        </w:tc>
        <w:tc>
          <w:tcPr>
            <w:tcW w:w="946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第五章注射制剂与临床应用</w:t>
            </w:r>
          </w:p>
        </w:tc>
        <w:tc>
          <w:tcPr>
            <w:tcW w:w="946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第六章皮肤和黏膜给药途径制剂与临床应用</w:t>
            </w:r>
          </w:p>
        </w:tc>
        <w:tc>
          <w:tcPr>
            <w:tcW w:w="947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第七章生物药剂学与药物动力学</w:t>
            </w:r>
          </w:p>
        </w:tc>
        <w:tc>
          <w:tcPr>
            <w:tcW w:w="947" w:type="dxa"/>
            <w:vAlign w:val="top"/>
          </w:tcPr>
          <w:p>
            <w:pPr>
              <w:ind w:leftChars="20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第八章药物对机体作用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left="0" w:leftChars="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2020</w:t>
            </w:r>
          </w:p>
          <w:p>
            <w:pPr>
              <w:ind w:left="0" w:leftChars="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分值</w:t>
            </w:r>
          </w:p>
          <w:p>
            <w:pPr>
              <w:ind w:left="0" w:leftChars="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占比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ind w:left="0" w:lef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947" w:type="dxa"/>
            <w:shd w:val="clear" w:color="auto" w:fill="auto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left="0" w:leftChars="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2021</w:t>
            </w:r>
          </w:p>
          <w:p>
            <w:pPr>
              <w:ind w:left="0" w:leftChars="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分值</w:t>
            </w:r>
          </w:p>
          <w:p>
            <w:pPr>
              <w:ind w:left="0" w:leftChars="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占比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946" w:type="dxa"/>
            <w:vAlign w:val="top"/>
          </w:tcPr>
          <w:p>
            <w:pPr>
              <w:ind w:left="0" w:lef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947" w:type="dxa"/>
            <w:shd w:val="clear" w:color="auto" w:fill="auto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</w:tbl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从表格可以看出，药物化学整体占比依旧比较大，这部分内容虽然学起来比较难，但大部分题目难度不大，要抱着“学一分就赚一分”的心态学这部分内容。药化不是单纯考结构式，有些题目考查的是药理内容，比如药物的分类、作用机制，具体到药物结构的题目也都会有结构提示，比如提示药物是前体药物、含有三氮唑结构或者给出药物结构选择化学骨架。和往年一样药效学整体难度不大，仍然是我们重点拿分部分。药剂学部分，让大家头疼的辅料的题目大部分比较基础，考查的剂型特点分类也是比较简单的。第一章药分部分考查了几个细节题目，做起来可能会有困难，药分一直是尽可能捞分的内容，所以这块做题情况不太好也无伤大雅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2022年备考建议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对于《药学专业知识（一）》的复习，尤其药物化学部分，这部分分值居高不下，不建议大</w:t>
      </w:r>
      <w:bookmarkStart w:id="0" w:name="_GoBack"/>
      <w:bookmarkEnd w:id="0"/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家放弃，抓住基本的知识点在药化上捞一些分数还是不成问题的。另外，在学习的时候尽可能的去理解，现在的考试题目形式越来越活，要求考生对知识要活学活用。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25FE"/>
    <w:rsid w:val="04FF6FD2"/>
    <w:rsid w:val="0CB525FE"/>
    <w:rsid w:val="1A364F0C"/>
    <w:rsid w:val="1E4D05E7"/>
    <w:rsid w:val="271D0A20"/>
    <w:rsid w:val="5CFC6749"/>
    <w:rsid w:val="6E645897"/>
    <w:rsid w:val="792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2021-11-29T03:29:00Z</dcterms:created>
  <dc:creator>丫头</dc:creator>
  <cp:lastModifiedBy>丫头</cp:lastModifiedBy>
  <dcterms:modified xsi:type="dcterms:W3CDTF">2021-12-02T07:16:35Z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EE65A09AC33742D79865311DE64E2175</vt:lpwstr>
  </property>
</Properties>
</file>