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2018</w:t>
      </w:r>
      <w:r>
        <w:rPr>
          <w:rFonts w:hint="eastAsia"/>
          <w:b/>
          <w:bCs/>
          <w:sz w:val="28"/>
          <w:szCs w:val="28"/>
        </w:rPr>
        <w:t>年执业药师《药一》考试分值分布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2018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年药学执业药师考试满分是多少？各题型分值占多少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2018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年执业药师各科目单独考试，单独计分，每题均为1分，满分为120分</w:t>
      </w:r>
      <w:r>
        <w:rPr>
          <w:rFonts w:hint="eastAsia"/>
          <w:b w:val="0"/>
          <w:bCs w:val="0"/>
          <w:color w:val="808080" w:themeColor="text1" w:themeTint="80"/>
          <w:sz w:val="21"/>
          <w:szCs w:val="21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（考试总时长150分钟）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。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2018</w:t>
      </w: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年执业药师《药学专业知识（一）》分为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八个章节</w:t>
      </w: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：各部分分值没有很大的变化，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第三、七、八章节</w:t>
      </w: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，占比稍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多一些;</w:t>
      </w:r>
    </w:p>
    <w:p>
      <w:pPr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第一、五、六章节</w:t>
      </w: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占比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比重少一些</w:t>
      </w: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，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第二、四章节</w:t>
      </w: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，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占少许</w:t>
      </w: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。具体各部分分值比例如：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eastAsia" w:eastAsiaTheme="minorEastAsia"/>
          <w:b w:val="0"/>
          <w:bCs w:val="0"/>
          <w:sz w:val="21"/>
          <w:szCs w:val="21"/>
          <w:lang w:eastAsia="zh-CN"/>
        </w:rPr>
      </w:pPr>
    </w:p>
    <w:p>
      <w:pPr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下面通过表格来直观分析一下《药学专业知识（一）》的分值比例情况。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7" w:hRule="atLeast"/>
        </w:trPr>
        <w:tc>
          <w:tcPr>
            <w:tcW w:w="8522" w:type="dxa"/>
            <w:gridSpan w:val="9"/>
            <w:shd w:val="clear" w:color="auto" w:fill="00B050"/>
          </w:tcPr>
          <w:p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各章节考试分值分布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章节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第一章药品与药品质量标准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第二章药物的结构与作用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第三章常见的药物结构与作用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第四章口服制剂与临床应用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第五章注射制剂与临床应用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第六章皮肤和黏膜给药途径制剂与临床应用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第七章生物药剂学与药物动力学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第八章药物对机体作用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分值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</w:tbl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 w:eastAsiaTheme="minorEastAsia"/>
          <w:b w:val="0"/>
          <w:bCs w:val="0"/>
          <w:sz w:val="21"/>
          <w:szCs w:val="21"/>
          <w:lang w:eastAsia="zh-CN"/>
        </w:rPr>
      </w:pP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从表格可以看出，药物化学整体占比依旧比较大，这部分内容虽然学起来比较难，但大部分题目难度不大，要抱着“学一分就赚一分”的心态学这部分内容。药化不是单纯考结构式，有些题目考查的是药理内容，比如药物的分类、作用机制，具体到药物结构的题目也都会有结构提示，比如提示药物是前体药物、含有三氮唑结构或者给出药物结构选择化学骨架。和往年一样药效学整体难度不大，仍然是我们重点拿分部分。药剂学部分，让大家头疼的辅料的题目大部分比较基础，考查的剂型特点分类也是比较简单的。第一章药分部分考查了几个细节题目，做起来可能会有困难，药分一直是尽可能捞分的内容，所以这块做题情况不太好也无伤大雅。</w:t>
      </w: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 w:eastAsiaTheme="minorEastAsia"/>
          <w:b w:val="0"/>
          <w:bCs w:val="0"/>
          <w:sz w:val="21"/>
          <w:szCs w:val="21"/>
          <w:lang w:eastAsia="zh-CN"/>
        </w:rPr>
      </w:pP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2021年执业药师考试已经成为过去式，为坐等拿证的同学举杯庆祝，没考好的同学也不要灰心，从中总结经验，明年继续认真、努力、全力以赴，一定行！</w:t>
      </w:r>
    </w:p>
    <w:p>
      <w:pPr>
        <w:rPr>
          <w:rFonts w:hint="eastAsia" w:eastAsiaTheme="minorEastAsia"/>
          <w:b w:val="0"/>
          <w:bCs w:val="0"/>
          <w:sz w:val="21"/>
          <w:szCs w:val="21"/>
          <w:lang w:eastAsia="zh-CN"/>
        </w:rPr>
      </w:pPr>
    </w:p>
    <w:p>
      <w:pP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  <w: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  <w:t>2022年执业药师备考已经开始了，抓紧时间着手复习，让你考取证书的愿望变成现实才是你真正该做的事情！执业药师学习不偷懒，过执业药师不是一句空话，</w:t>
      </w:r>
      <w:r>
        <w:rPr>
          <w:rFonts w:hint="eastAsia"/>
          <w:b w:val="0"/>
          <w:bCs w:val="0"/>
          <w:color w:val="00B050"/>
          <w:sz w:val="21"/>
          <w:szCs w:val="21"/>
          <w:lang w:val="en-US" w:eastAsia="zh-CN"/>
        </w:rPr>
        <w:t>我们</w:t>
      </w:r>
      <w: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  <w:t>已经为你准备了多种学习班型，可以满足不同考生的学习需求，不知道如何备考的话，马上报课学习吧&gt;&gt;</w:t>
      </w: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  <w: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  <w:drawing>
          <wp:inline distT="0" distB="0" distL="114300" distR="114300">
            <wp:extent cx="1315085" cy="1315085"/>
            <wp:effectExtent l="0" t="0" r="18415" b="18415"/>
            <wp:docPr id="2" name="图片 2" descr="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公众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eastAsiaTheme="minorEastAsia"/>
          <w:b w:val="0"/>
          <w:bCs w:val="0"/>
          <w:color w:val="00B05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B050"/>
          <w:sz w:val="21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color w:val="808080" w:themeColor="text1" w:themeTint="80"/>
          <w:sz w:val="21"/>
          <w:szCs w:val="21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关注公众号了解更多资讯 / 给你更多的学习机会和平台</w:t>
      </w:r>
    </w:p>
    <w:p>
      <w:pPr>
        <w:rPr>
          <w:rFonts w:hint="eastAsia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C6022B"/>
    <w:rsid w:val="0523088E"/>
    <w:rsid w:val="2FC6022B"/>
    <w:rsid w:val="70D5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2021-12-01T06:33:00Z</dcterms:created>
  <dc:creator>丫头</dc:creator>
  <cp:lastModifiedBy>丫头</cp:lastModifiedBy>
  <dcterms:modified xsi:type="dcterms:W3CDTF">2021-12-01T07:24:01Z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2052-11.1.0.11110</vt:lpwstr>
  </property>
  <property fmtid="{D5CDD505-2E9C-101B-9397-08002B2CF9AE}" pid="3" name="ICV">
    <vt:lpwstr>EE05D5D07BF6499FA75FFAB2D2B54ED6</vt:lpwstr>
  </property>
</Properties>
</file>