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2019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法规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2019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《药事管理与法规》章节分布/</w:t>
      </w:r>
      <w:r>
        <w:rPr>
          <w:rFonts w:hint="eastAsia"/>
        </w:rPr>
        <w:t>分值占比汇总如下：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94"/>
        <w:gridCol w:w="774"/>
        <w:gridCol w:w="774"/>
        <w:gridCol w:w="774"/>
        <w:gridCol w:w="774"/>
        <w:gridCol w:w="774"/>
        <w:gridCol w:w="774"/>
        <w:gridCol w:w="774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9" w:type="dxa"/>
            <w:gridSpan w:val="11"/>
            <w:shd w:val="clear" w:color="auto" w:fill="00B050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章节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第一章执业药师与健康中国战略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第二章药品管理立法与药品监督管理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第三章药品研制与生产管理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第四章药品经营管理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第五章医疗机构药师管理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第六章中药管理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第七章特殊管理规定的药品管理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第八章药品信息、广告、价格管理及消费 者权益保护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第九章医疗器械、化妆品和特殊食品的管 理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第十章药品安全法律责任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分值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774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774" w:type="dxa"/>
            <w:shd w:val="clear" w:color="auto" w:fill="00B05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774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775" w:type="dxa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775" w:type="dxa"/>
            <w:shd w:val="clear" w:color="auto" w:fill="C5E0B3" w:themeFill="accent6" w:themeFillTint="66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以上数据符合历年考试分值分配，没有明显波动，其中高分值章节依然是第4章。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《药事管理与法规》的考题考查的点比较细节化，常见考法就是偷换说法、增加或删减关键字，要求考生对教材法条准确记忆。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各题型来看，最佳选择题难度最大，要求学员有足够的知识储备，题目答案往往比较隐蔽，通常是一句话表述中一半对一不对来混淆；综合分析选择题难度其次，题干涉及的对象居多，需要考生保持清醒的大脑，捋清关系方能正确作答；配伍选择题难度最小，基本是基础考点居多，但涉及8分特别细节的考点，此点是大部分考生的失分点；多项选择题作为历年失分较多的题型，且分值占比不高，一般作为战略放弃分值，此处不做对比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A21D9"/>
    <w:rsid w:val="523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2021-12-02T03:06:00Z</dcterms:created>
  <dc:creator>丫头</dc:creator>
  <cp:lastModifiedBy>丫头</cp:lastModifiedBy>
  <dcterms:modified xsi:type="dcterms:W3CDTF">2021-12-02T03:08:00Z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AE4B3FD6367D41ADA9B5EC2061A9DCD3</vt:lpwstr>
  </property>
</Properties>
</file>