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药综合与技能（分值）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国家执业药师资格考试釆用标准化客观性试题。试题由两部分组成：一为题干，设定问题背景；二为选项，即备选答案。考生在设定的备选答案中选择正确的、符合题意的答案，不需作解释和论述。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2021年国家执业药师试题分为A型题（最佳选择题）、B型题（配伍选择题）、C型题（综合分析选择题）和X型题（多项选择题）四种题型。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A型题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最佳选择题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每题1分，共40题，共40分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b/>
          <w:bCs/>
          <w:sz w:val="21"/>
          <w:szCs w:val="21"/>
        </w:rPr>
        <w:t>下列每小题的五个选项中， 只有一项是最符合题意的正确答案，多选、错选或不选均不得分。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B型题（配伍选择题）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（每题1分，共50题，共50分）题目分为若干组，每组题目对应同一组备选项，备选项可重复选用，也可不选用。每题只有1个备选项最符合题意。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C型题（综合分析选择题）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（每题1分，共20题，共20分）题目分为若干组，每组题目基于同一个临床情景病例、实例或案例的背景信息逐题展开。每题的备选项中，只有1个最符合题意。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X型题（多项选择题）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（每题1分，共10题，共10分）下列每小题的备选答案中，有两个或两个以上符合题意的正确答案，多选、少选、错选、不选均不得分。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5D50"/>
    <w:multiLevelType w:val="singleLevel"/>
    <w:tmpl w:val="79585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24432"/>
    <w:rsid w:val="37924432"/>
    <w:rsid w:val="3A6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丫头</dc:creator>
  <cp:lastModifiedBy>丫头</cp:lastModifiedBy>
  <dcterms:modified xsi:type="dcterms:W3CDTF">2021-12-01T07:29:35Z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D267383B97374E629F34FB13F0D86B5B</vt:lpwstr>
  </property>
</Properties>
</file>